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1165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501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UserDefinedgrp-22rplc-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8rplc-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г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тем самым </w:t>
      </w: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5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</w:t>
      </w:r>
      <w:r>
        <w:rPr>
          <w:rFonts w:ascii="Times New Roman" w:eastAsia="Times New Roman" w:hAnsi="Times New Roman" w:cs="Times New Roman"/>
          <w:sz w:val="26"/>
          <w:szCs w:val="26"/>
        </w:rPr>
        <w:t>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54 ГК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 Университетская, д. 29/2, кв. 176.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26303</w:t>
      </w:r>
      <w:r>
        <w:rPr>
          <w:rFonts w:ascii="Times New Roman" w:eastAsia="Times New Roman" w:hAnsi="Times New Roman" w:cs="Times New Roman"/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мес.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6"/>
          <w:szCs w:val="26"/>
        </w:rPr>
        <w:t>декларации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РОО ХМАО-Югры «Совет старейшин Чечено-Ингушского народа» </w:t>
      </w:r>
      <w:r>
        <w:rPr>
          <w:rStyle w:val="cat-FIOgrp-14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6"/>
          <w:szCs w:val="26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РОО ХМАО-Югры «Совет старейшин Чечено-Ингушского народа»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0">
    <w:name w:val="cat-UserDefined grp-22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PassportDatagrp-18rplc-5">
    <w:name w:val="cat-PassportData grp-18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FIOgrp-14rplc-15">
    <w:name w:val="cat-FIO grp-1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